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83" w:rsidRDefault="00C04283" w:rsidP="00C04283">
      <w:pPr>
        <w:pStyle w:val="Kop1"/>
        <w:tabs>
          <w:tab w:val="left" w:pos="567"/>
        </w:tabs>
        <w:ind w:left="360" w:firstLine="567"/>
      </w:pPr>
      <w:proofErr w:type="spellStart"/>
      <w:r>
        <w:t>Inhoud</w:t>
      </w:r>
      <w:proofErr w:type="spellEnd"/>
      <w:r>
        <w:t xml:space="preserve"> project</w:t>
      </w:r>
    </w:p>
    <w:p w:rsidR="00C04283" w:rsidRPr="009354BB" w:rsidRDefault="00C04283" w:rsidP="00C04283">
      <w:pPr>
        <w:rPr>
          <w:lang w:val="en-US"/>
        </w:rPr>
      </w:pPr>
    </w:p>
    <w:p w:rsidR="00C04283" w:rsidRPr="009354BB" w:rsidRDefault="00C04283" w:rsidP="00C04283">
      <w:pPr>
        <w:rPr>
          <w:lang w:val="en-US"/>
        </w:rPr>
      </w:pPr>
    </w:p>
    <w:p w:rsidR="00C04283" w:rsidRPr="009354BB" w:rsidRDefault="00C04283" w:rsidP="00C04283">
      <w:pPr>
        <w:rPr>
          <w:lang w:val="en-US"/>
        </w:rPr>
      </w:pPr>
    </w:p>
    <w:p w:rsidR="00C04283" w:rsidRPr="009354BB" w:rsidRDefault="00C04283" w:rsidP="00C04283">
      <w:pPr>
        <w:rPr>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4"/>
        <w:gridCol w:w="851"/>
        <w:gridCol w:w="1276"/>
        <w:gridCol w:w="4677"/>
      </w:tblGrid>
      <w:tr w:rsidR="00C04283" w:rsidRPr="007849A6" w:rsidTr="007C14F3">
        <w:trPr>
          <w:trHeight w:val="542"/>
        </w:trPr>
        <w:tc>
          <w:tcPr>
            <w:tcW w:w="1844" w:type="dxa"/>
            <w:shd w:val="clear" w:color="auto" w:fill="000000"/>
            <w:vAlign w:val="center"/>
          </w:tcPr>
          <w:p w:rsidR="00C04283" w:rsidRPr="00433B68" w:rsidRDefault="00C04283" w:rsidP="007C14F3">
            <w:pPr>
              <w:pStyle w:val="opsomming"/>
              <w:jc w:val="right"/>
              <w:rPr>
                <w:b/>
                <w:color w:val="FFFFFF"/>
                <w:sz w:val="28"/>
                <w:szCs w:val="28"/>
              </w:rPr>
            </w:pPr>
            <w:r w:rsidRPr="00433B68">
              <w:rPr>
                <w:b/>
                <w:color w:val="FFFFFF"/>
                <w:sz w:val="28"/>
                <w:szCs w:val="28"/>
              </w:rPr>
              <w:t>Project titel</w:t>
            </w:r>
          </w:p>
        </w:tc>
        <w:tc>
          <w:tcPr>
            <w:tcW w:w="8788" w:type="dxa"/>
            <w:gridSpan w:val="4"/>
            <w:shd w:val="clear" w:color="auto" w:fill="auto"/>
            <w:vAlign w:val="center"/>
          </w:tcPr>
          <w:p w:rsidR="00C04283" w:rsidRPr="00B8576D" w:rsidRDefault="00FE7A38" w:rsidP="00FE7A38">
            <w:pPr>
              <w:pStyle w:val="opsomming"/>
              <w:ind w:right="-108"/>
              <w:rPr>
                <w:b/>
                <w:sz w:val="28"/>
                <w:szCs w:val="28"/>
              </w:rPr>
            </w:pPr>
            <w:r>
              <w:rPr>
                <w:b/>
                <w:sz w:val="28"/>
                <w:szCs w:val="28"/>
              </w:rPr>
              <w:t>Studieloopbaanbegeleiding Beroeps Begeleidende Leerweg</w:t>
            </w:r>
          </w:p>
        </w:tc>
      </w:tr>
      <w:tr w:rsidR="00C04283" w:rsidRPr="007849A6" w:rsidTr="007C14F3">
        <w:trPr>
          <w:trHeight w:val="357"/>
        </w:trPr>
        <w:tc>
          <w:tcPr>
            <w:tcW w:w="1844" w:type="dxa"/>
            <w:tcBorders>
              <w:top w:val="nil"/>
            </w:tcBorders>
            <w:shd w:val="clear" w:color="auto" w:fill="CCCCCC"/>
            <w:vAlign w:val="center"/>
          </w:tcPr>
          <w:p w:rsidR="00C04283" w:rsidRPr="007849A6" w:rsidRDefault="00C04283" w:rsidP="007C14F3">
            <w:pPr>
              <w:pStyle w:val="opsomming"/>
              <w:jc w:val="right"/>
              <w:rPr>
                <w:b/>
                <w:sz w:val="24"/>
                <w:szCs w:val="24"/>
                <w:highlight w:val="yellow"/>
              </w:rPr>
            </w:pPr>
            <w:r w:rsidRPr="00B2713A">
              <w:rPr>
                <w:b/>
                <w:sz w:val="24"/>
                <w:szCs w:val="24"/>
              </w:rPr>
              <w:t>Inhoud</w:t>
            </w:r>
          </w:p>
        </w:tc>
        <w:tc>
          <w:tcPr>
            <w:tcW w:w="8788" w:type="dxa"/>
            <w:gridSpan w:val="4"/>
            <w:tcBorders>
              <w:top w:val="nil"/>
            </w:tcBorders>
            <w:shd w:val="clear" w:color="auto" w:fill="auto"/>
            <w:vAlign w:val="center"/>
          </w:tcPr>
          <w:p w:rsidR="00C04283" w:rsidRPr="00BC53D3" w:rsidRDefault="00C04283" w:rsidP="00FE7A38">
            <w:pPr>
              <w:pStyle w:val="opsomming"/>
            </w:pPr>
            <w:r>
              <w:rPr>
                <w:sz w:val="18"/>
                <w:szCs w:val="18"/>
              </w:rPr>
              <w:br/>
            </w:r>
            <w:r w:rsidR="00FE7A38">
              <w:t>Dit project bestaat uit twee projectbundels welke samen het kwalificatiedossier afdekken van Studieloopbaanbegeleiding, dit voor zowel de Loopbaan competenties als de burgerschapscompetenties. Tweemaal per schooljaar wordt er een activiteit in de praktijk georganiseerd die passend is binnen de beroepsrichting van de betreffende opleiding.</w:t>
            </w:r>
            <w:r w:rsidR="00155AF7">
              <w:t xml:space="preserve"> In totaal zijn er over twee leerjaren vier activiteiten voor Studieloopbaanbegeleiding.</w:t>
            </w:r>
            <w:r w:rsidRPr="00BC53D3">
              <w:br/>
            </w:r>
          </w:p>
        </w:tc>
      </w:tr>
      <w:tr w:rsidR="00C04283" w:rsidRPr="007849A6" w:rsidTr="007C14F3">
        <w:trPr>
          <w:trHeight w:val="357"/>
        </w:trPr>
        <w:tc>
          <w:tcPr>
            <w:tcW w:w="10632" w:type="dxa"/>
            <w:gridSpan w:val="5"/>
            <w:shd w:val="clear" w:color="auto" w:fill="000000"/>
            <w:vAlign w:val="center"/>
          </w:tcPr>
          <w:p w:rsidR="00C04283" w:rsidRPr="007849A6" w:rsidRDefault="00C04283" w:rsidP="007C14F3">
            <w:pPr>
              <w:rPr>
                <w:sz w:val="18"/>
                <w:szCs w:val="18"/>
              </w:rPr>
            </w:pPr>
          </w:p>
        </w:tc>
      </w:tr>
      <w:tr w:rsidR="00C04283" w:rsidRPr="007849A6" w:rsidTr="007C14F3">
        <w:trPr>
          <w:trHeight w:val="357"/>
        </w:trPr>
        <w:tc>
          <w:tcPr>
            <w:tcW w:w="1844" w:type="dxa"/>
            <w:shd w:val="clear" w:color="auto" w:fill="CCCCCC"/>
            <w:vAlign w:val="center"/>
          </w:tcPr>
          <w:p w:rsidR="00C04283" w:rsidRPr="007849A6" w:rsidRDefault="00C04283" w:rsidP="007C14F3">
            <w:pPr>
              <w:pStyle w:val="opsomming"/>
              <w:jc w:val="right"/>
              <w:rPr>
                <w:b/>
                <w:sz w:val="24"/>
                <w:szCs w:val="24"/>
              </w:rPr>
            </w:pPr>
            <w:r w:rsidRPr="007849A6">
              <w:rPr>
                <w:b/>
                <w:sz w:val="24"/>
                <w:szCs w:val="24"/>
              </w:rPr>
              <w:t>Het project wordt behaald als</w:t>
            </w:r>
          </w:p>
        </w:tc>
        <w:tc>
          <w:tcPr>
            <w:tcW w:w="8788" w:type="dxa"/>
            <w:gridSpan w:val="4"/>
            <w:shd w:val="clear" w:color="auto" w:fill="auto"/>
            <w:vAlign w:val="center"/>
          </w:tcPr>
          <w:p w:rsidR="00C04283" w:rsidRDefault="00C04283" w:rsidP="00C04283">
            <w:pPr>
              <w:pStyle w:val="Geenafstand"/>
              <w:numPr>
                <w:ilvl w:val="0"/>
                <w:numId w:val="2"/>
              </w:numPr>
              <w:rPr>
                <w:rFonts w:cs="Arial"/>
                <w:sz w:val="18"/>
                <w:szCs w:val="18"/>
              </w:rPr>
            </w:pPr>
            <w:r w:rsidRPr="00803D44">
              <w:rPr>
                <w:rFonts w:cs="Arial"/>
                <w:b/>
                <w:sz w:val="18"/>
                <w:szCs w:val="18"/>
              </w:rPr>
              <w:t>Beoordelende toets</w:t>
            </w:r>
            <w:r w:rsidR="00BC53D3">
              <w:rPr>
                <w:rFonts w:cs="Arial"/>
                <w:b/>
                <w:sz w:val="18"/>
                <w:szCs w:val="18"/>
              </w:rPr>
              <w:t>en</w:t>
            </w:r>
            <w:r w:rsidRPr="00EC5B08">
              <w:rPr>
                <w:rFonts w:cs="Arial"/>
                <w:b/>
                <w:sz w:val="18"/>
                <w:szCs w:val="18"/>
              </w:rPr>
              <w:t>:</w:t>
            </w:r>
            <w:r w:rsidR="00FE7A38">
              <w:rPr>
                <w:rFonts w:cs="Arial"/>
                <w:sz w:val="18"/>
                <w:szCs w:val="18"/>
              </w:rPr>
              <w:t xml:space="preserve"> Toets 1 en 2 </w:t>
            </w:r>
            <w:r w:rsidR="00344D83">
              <w:rPr>
                <w:rFonts w:cs="Arial"/>
                <w:sz w:val="18"/>
                <w:szCs w:val="18"/>
              </w:rPr>
              <w:t>moeten behaald zijn met een Behaald</w:t>
            </w:r>
          </w:p>
          <w:p w:rsidR="00C04283" w:rsidRPr="00155AF7" w:rsidRDefault="00FE7A38" w:rsidP="00FE7A38">
            <w:pPr>
              <w:pStyle w:val="opsomming"/>
              <w:numPr>
                <w:ilvl w:val="0"/>
                <w:numId w:val="2"/>
              </w:numPr>
              <w:rPr>
                <w:sz w:val="18"/>
                <w:szCs w:val="18"/>
              </w:rPr>
            </w:pPr>
            <w:r>
              <w:rPr>
                <w:i/>
                <w:sz w:val="18"/>
                <w:szCs w:val="18"/>
              </w:rPr>
              <w:t>De toetsen kunnen alleen afgesloten worden</w:t>
            </w:r>
            <w:r w:rsidR="00C04283">
              <w:rPr>
                <w:i/>
                <w:sz w:val="18"/>
                <w:szCs w:val="18"/>
              </w:rPr>
              <w:t xml:space="preserve"> </w:t>
            </w:r>
            <w:r>
              <w:rPr>
                <w:i/>
                <w:sz w:val="18"/>
                <w:szCs w:val="18"/>
              </w:rPr>
              <w:t>indien de deelnemer intekent bij aankomst van de activiteit en uittekent aan het einde van de activiteit.</w:t>
            </w:r>
          </w:p>
          <w:p w:rsidR="00155AF7" w:rsidRDefault="00155AF7" w:rsidP="00155AF7">
            <w:pPr>
              <w:pStyle w:val="opsomming"/>
              <w:rPr>
                <w:i/>
                <w:sz w:val="18"/>
                <w:szCs w:val="18"/>
              </w:rPr>
            </w:pPr>
          </w:p>
          <w:p w:rsidR="00155AF7" w:rsidRPr="00371A6E" w:rsidRDefault="00155AF7" w:rsidP="00155AF7">
            <w:pPr>
              <w:pStyle w:val="opsomming"/>
              <w:numPr>
                <w:ilvl w:val="0"/>
                <w:numId w:val="2"/>
              </w:numPr>
              <w:rPr>
                <w:sz w:val="18"/>
                <w:szCs w:val="18"/>
              </w:rPr>
            </w:pPr>
            <w:r>
              <w:rPr>
                <w:sz w:val="18"/>
                <w:szCs w:val="18"/>
              </w:rPr>
              <w:t>Indien één of beide van de bovenstaande toetsen Niet Behaald is/ zijn volgt er een vervangende opdracht.</w:t>
            </w:r>
          </w:p>
        </w:tc>
      </w:tr>
      <w:tr w:rsidR="00C04283" w:rsidRPr="007849A6" w:rsidTr="007C14F3">
        <w:trPr>
          <w:trHeight w:val="357"/>
        </w:trPr>
        <w:tc>
          <w:tcPr>
            <w:tcW w:w="10632" w:type="dxa"/>
            <w:gridSpan w:val="5"/>
            <w:shd w:val="clear" w:color="auto" w:fill="000000"/>
            <w:vAlign w:val="center"/>
          </w:tcPr>
          <w:p w:rsidR="00C04283" w:rsidRPr="007849A6" w:rsidRDefault="00C04283" w:rsidP="007C14F3">
            <w:pPr>
              <w:pStyle w:val="opsomming"/>
              <w:rPr>
                <w:sz w:val="18"/>
                <w:szCs w:val="18"/>
              </w:rPr>
            </w:pPr>
          </w:p>
        </w:tc>
      </w:tr>
      <w:tr w:rsidR="00C04283" w:rsidRPr="007849A6" w:rsidTr="007C14F3">
        <w:trPr>
          <w:trHeight w:val="357"/>
        </w:trPr>
        <w:tc>
          <w:tcPr>
            <w:tcW w:w="1844" w:type="dxa"/>
            <w:shd w:val="clear" w:color="auto" w:fill="CCCCCC"/>
            <w:vAlign w:val="center"/>
          </w:tcPr>
          <w:p w:rsidR="00C04283" w:rsidRPr="007849A6" w:rsidRDefault="00C04283" w:rsidP="007C14F3">
            <w:pPr>
              <w:pStyle w:val="opsomming"/>
              <w:jc w:val="right"/>
              <w:rPr>
                <w:b/>
                <w:sz w:val="24"/>
                <w:szCs w:val="24"/>
              </w:rPr>
            </w:pPr>
            <w:r w:rsidRPr="007849A6">
              <w:rPr>
                <w:b/>
                <w:sz w:val="24"/>
                <w:szCs w:val="24"/>
              </w:rPr>
              <w:t xml:space="preserve">Toets </w:t>
            </w:r>
            <w:r>
              <w:rPr>
                <w:b/>
                <w:sz w:val="24"/>
                <w:szCs w:val="24"/>
              </w:rPr>
              <w:t>1</w:t>
            </w:r>
          </w:p>
        </w:tc>
        <w:tc>
          <w:tcPr>
            <w:tcW w:w="1984" w:type="dxa"/>
            <w:shd w:val="clear" w:color="auto" w:fill="auto"/>
            <w:vAlign w:val="center"/>
          </w:tcPr>
          <w:p w:rsidR="00C04283" w:rsidRPr="001900FF" w:rsidRDefault="00155AF7" w:rsidP="00DC1D3B">
            <w:r>
              <w:t>Vakbeurs en bedrijfsbezoek 1</w:t>
            </w:r>
            <w:r w:rsidR="00344D83">
              <w:t xml:space="preserve"> </w:t>
            </w:r>
          </w:p>
        </w:tc>
        <w:tc>
          <w:tcPr>
            <w:tcW w:w="2127" w:type="dxa"/>
            <w:gridSpan w:val="2"/>
            <w:shd w:val="clear" w:color="auto" w:fill="auto"/>
            <w:vAlign w:val="center"/>
          </w:tcPr>
          <w:p w:rsidR="00C04283" w:rsidRPr="00241440" w:rsidRDefault="00C04283" w:rsidP="007C14F3">
            <w:pPr>
              <w:jc w:val="center"/>
            </w:pPr>
            <w:r w:rsidRPr="00241440">
              <w:t>Weging 1x</w:t>
            </w:r>
          </w:p>
        </w:tc>
        <w:tc>
          <w:tcPr>
            <w:tcW w:w="4677" w:type="dxa"/>
            <w:shd w:val="clear" w:color="auto" w:fill="auto"/>
          </w:tcPr>
          <w:p w:rsidR="00C04283" w:rsidRPr="00433B68" w:rsidRDefault="00BC53D3" w:rsidP="00BC53D3">
            <w:pPr>
              <w:pStyle w:val="opsomming"/>
              <w:rPr>
                <w:sz w:val="18"/>
                <w:szCs w:val="18"/>
              </w:rPr>
            </w:pPr>
            <w:r>
              <w:rPr>
                <w:sz w:val="18"/>
                <w:szCs w:val="18"/>
              </w:rPr>
              <w:t>Verslag</w:t>
            </w:r>
          </w:p>
        </w:tc>
      </w:tr>
      <w:tr w:rsidR="00C04283" w:rsidRPr="007849A6" w:rsidTr="007C14F3">
        <w:trPr>
          <w:trHeight w:val="357"/>
        </w:trPr>
        <w:tc>
          <w:tcPr>
            <w:tcW w:w="1844" w:type="dxa"/>
            <w:shd w:val="clear" w:color="auto" w:fill="CCCCCC"/>
            <w:vAlign w:val="center"/>
          </w:tcPr>
          <w:p w:rsidR="00C04283" w:rsidRPr="007849A6" w:rsidRDefault="00C04283" w:rsidP="007C14F3">
            <w:pPr>
              <w:pStyle w:val="opsomming"/>
              <w:jc w:val="right"/>
              <w:rPr>
                <w:b/>
                <w:sz w:val="24"/>
                <w:szCs w:val="24"/>
              </w:rPr>
            </w:pPr>
            <w:r w:rsidRPr="007849A6">
              <w:rPr>
                <w:b/>
                <w:sz w:val="24"/>
                <w:szCs w:val="24"/>
              </w:rPr>
              <w:t xml:space="preserve">Toets </w:t>
            </w:r>
            <w:r>
              <w:rPr>
                <w:b/>
                <w:sz w:val="24"/>
                <w:szCs w:val="24"/>
              </w:rPr>
              <w:t>2</w:t>
            </w:r>
          </w:p>
        </w:tc>
        <w:tc>
          <w:tcPr>
            <w:tcW w:w="1984" w:type="dxa"/>
            <w:shd w:val="clear" w:color="auto" w:fill="auto"/>
            <w:vAlign w:val="center"/>
          </w:tcPr>
          <w:p w:rsidR="00C04283" w:rsidRPr="00344D83" w:rsidRDefault="00155AF7" w:rsidP="007C14F3">
            <w:r>
              <w:t>Vakbeurs en bedrijfsbezoek 2</w:t>
            </w:r>
          </w:p>
        </w:tc>
        <w:tc>
          <w:tcPr>
            <w:tcW w:w="2127" w:type="dxa"/>
            <w:gridSpan w:val="2"/>
            <w:shd w:val="clear" w:color="auto" w:fill="auto"/>
            <w:vAlign w:val="center"/>
          </w:tcPr>
          <w:p w:rsidR="00C04283" w:rsidRPr="00241440" w:rsidRDefault="00935D41" w:rsidP="007C14F3">
            <w:pPr>
              <w:jc w:val="center"/>
            </w:pPr>
            <w:r>
              <w:t>Weging 1x</w:t>
            </w:r>
          </w:p>
        </w:tc>
        <w:tc>
          <w:tcPr>
            <w:tcW w:w="4677" w:type="dxa"/>
            <w:shd w:val="clear" w:color="auto" w:fill="auto"/>
          </w:tcPr>
          <w:p w:rsidR="00C04283" w:rsidRPr="007849A6" w:rsidRDefault="00155AF7" w:rsidP="00155AF7">
            <w:pPr>
              <w:pStyle w:val="opsomming"/>
              <w:rPr>
                <w:sz w:val="18"/>
                <w:szCs w:val="18"/>
              </w:rPr>
            </w:pPr>
            <w:r>
              <w:rPr>
                <w:sz w:val="18"/>
                <w:szCs w:val="18"/>
              </w:rPr>
              <w:t>Verslag</w:t>
            </w:r>
          </w:p>
        </w:tc>
      </w:tr>
      <w:tr w:rsidR="00C04283" w:rsidRPr="007849A6" w:rsidTr="007C14F3">
        <w:trPr>
          <w:trHeight w:val="485"/>
        </w:trPr>
        <w:tc>
          <w:tcPr>
            <w:tcW w:w="4679" w:type="dxa"/>
            <w:gridSpan w:val="3"/>
            <w:tcBorders>
              <w:top w:val="nil"/>
              <w:bottom w:val="nil"/>
              <w:right w:val="single" w:sz="18" w:space="0" w:color="FFFFFF"/>
            </w:tcBorders>
            <w:shd w:val="clear" w:color="auto" w:fill="000000"/>
            <w:vAlign w:val="center"/>
          </w:tcPr>
          <w:p w:rsidR="00C04283" w:rsidRPr="00B8576D" w:rsidRDefault="00C04283" w:rsidP="007C14F3">
            <w:pPr>
              <w:pStyle w:val="opsomming"/>
              <w:rPr>
                <w:sz w:val="24"/>
                <w:szCs w:val="24"/>
              </w:rPr>
            </w:pPr>
            <w:r w:rsidRPr="00B8576D">
              <w:rPr>
                <w:sz w:val="24"/>
                <w:szCs w:val="24"/>
              </w:rPr>
              <w:t>betrokken werkprocessen</w:t>
            </w:r>
          </w:p>
        </w:tc>
        <w:tc>
          <w:tcPr>
            <w:tcW w:w="5953" w:type="dxa"/>
            <w:gridSpan w:val="2"/>
            <w:tcBorders>
              <w:top w:val="nil"/>
              <w:left w:val="single" w:sz="18" w:space="0" w:color="FFFFFF"/>
              <w:bottom w:val="nil"/>
            </w:tcBorders>
            <w:shd w:val="clear" w:color="auto" w:fill="000000"/>
            <w:vAlign w:val="center"/>
          </w:tcPr>
          <w:p w:rsidR="00C04283" w:rsidRPr="00B8576D" w:rsidRDefault="00C04283" w:rsidP="007C14F3">
            <w:pPr>
              <w:pStyle w:val="opsomming"/>
              <w:rPr>
                <w:sz w:val="24"/>
                <w:szCs w:val="24"/>
              </w:rPr>
            </w:pPr>
            <w:r w:rsidRPr="00B8576D">
              <w:rPr>
                <w:sz w:val="24"/>
                <w:szCs w:val="24"/>
              </w:rPr>
              <w:t>betrokken SHL competenties</w:t>
            </w:r>
          </w:p>
        </w:tc>
      </w:tr>
      <w:tr w:rsidR="00C04283" w:rsidRPr="007849A6" w:rsidTr="007C14F3">
        <w:trPr>
          <w:trHeight w:val="357"/>
        </w:trPr>
        <w:tc>
          <w:tcPr>
            <w:tcW w:w="4679" w:type="dxa"/>
            <w:gridSpan w:val="3"/>
            <w:tcBorders>
              <w:top w:val="nil"/>
              <w:right w:val="single" w:sz="4" w:space="0" w:color="auto"/>
            </w:tcBorders>
            <w:shd w:val="clear" w:color="auto" w:fill="auto"/>
          </w:tcPr>
          <w:p w:rsidR="00155AF7" w:rsidRPr="00155AF7" w:rsidRDefault="00155AF7" w:rsidP="00155AF7">
            <w:pPr>
              <w:pStyle w:val="opsomming"/>
              <w:rPr>
                <w:b/>
              </w:rPr>
            </w:pPr>
            <w:r w:rsidRPr="00155AF7">
              <w:rPr>
                <w:b/>
              </w:rPr>
              <w:t>Studieloopbaanbegeleiding leerdoelen</w:t>
            </w:r>
          </w:p>
          <w:p w:rsidR="00155AF7" w:rsidRPr="00155AF7" w:rsidRDefault="00155AF7" w:rsidP="00155AF7">
            <w:pPr>
              <w:pStyle w:val="opsomming"/>
              <w:rPr>
                <w:b/>
              </w:rPr>
            </w:pPr>
          </w:p>
          <w:p w:rsidR="00155AF7" w:rsidRPr="00155AF7" w:rsidRDefault="00155AF7" w:rsidP="00155AF7">
            <w:pPr>
              <w:pStyle w:val="opsomming"/>
              <w:rPr>
                <w:b/>
              </w:rPr>
            </w:pPr>
          </w:p>
          <w:p w:rsidR="00155AF7" w:rsidRPr="00155AF7" w:rsidRDefault="00155AF7" w:rsidP="00155AF7">
            <w:pPr>
              <w:pStyle w:val="opsomming"/>
              <w:rPr>
                <w:b/>
              </w:rPr>
            </w:pPr>
            <w:r w:rsidRPr="00155AF7">
              <w:rPr>
                <w:b/>
              </w:rPr>
              <w:t>1. Loopbaan</w:t>
            </w:r>
          </w:p>
          <w:p w:rsidR="00155AF7" w:rsidRPr="00155AF7" w:rsidRDefault="00155AF7" w:rsidP="00155AF7">
            <w:pPr>
              <w:pStyle w:val="opsomming"/>
              <w:rPr>
                <w:b/>
              </w:rPr>
            </w:pPr>
            <w:r w:rsidRPr="00155AF7">
              <w:rPr>
                <w:b/>
              </w:rPr>
              <w:t>De leerling:</w:t>
            </w:r>
          </w:p>
          <w:p w:rsidR="00155AF7" w:rsidRPr="00155AF7" w:rsidRDefault="00155AF7" w:rsidP="00155AF7">
            <w:pPr>
              <w:pStyle w:val="opsomming"/>
              <w:rPr>
                <w:b/>
              </w:rPr>
            </w:pPr>
            <w:r w:rsidRPr="00155AF7">
              <w:rPr>
                <w:b/>
              </w:rPr>
              <w:t>- heeft inzicht in de eigen kwaliteiten, mogelijkheden, waarden en motieven</w:t>
            </w:r>
          </w:p>
          <w:p w:rsidR="00155AF7" w:rsidRPr="00155AF7" w:rsidRDefault="00155AF7" w:rsidP="00155AF7">
            <w:pPr>
              <w:pStyle w:val="opsomming"/>
              <w:rPr>
                <w:b/>
              </w:rPr>
            </w:pPr>
            <w:r w:rsidRPr="00155AF7">
              <w:rPr>
                <w:b/>
              </w:rPr>
              <w:t>- oriënteert zich op en heeft inzicht in de mogelijkheden die de arbeidsmarkt biedt</w:t>
            </w:r>
          </w:p>
          <w:p w:rsidR="00155AF7" w:rsidRPr="00155AF7" w:rsidRDefault="00155AF7" w:rsidP="00155AF7">
            <w:pPr>
              <w:pStyle w:val="opsomming"/>
              <w:rPr>
                <w:b/>
              </w:rPr>
            </w:pPr>
            <w:r w:rsidRPr="00155AF7">
              <w:rPr>
                <w:b/>
              </w:rPr>
              <w:t>- is in staat de eigen kwaliteiten, mogelijkheden, waarden en motieven te vergelijken met gevraagde waarden en kwaliteiten van verschillende soorten werk</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De onderstaande elementen komen bij loopbaanoriëntatie en-begeleiding aan bod:</w:t>
            </w:r>
          </w:p>
          <w:p w:rsidR="00155AF7" w:rsidRPr="00155AF7" w:rsidRDefault="00155AF7" w:rsidP="00155AF7">
            <w:pPr>
              <w:pStyle w:val="opsomming"/>
              <w:rPr>
                <w:b/>
              </w:rPr>
            </w:pPr>
            <w:r w:rsidRPr="00155AF7">
              <w:rPr>
                <w:b/>
              </w:rPr>
              <w:t>- capaciteitenreflectie: beschouwing van de capaciteiten die van belang zijn voor de loopbaan</w:t>
            </w:r>
          </w:p>
          <w:p w:rsidR="00155AF7" w:rsidRPr="00155AF7" w:rsidRDefault="00155AF7" w:rsidP="00155AF7">
            <w:pPr>
              <w:pStyle w:val="opsomming"/>
              <w:rPr>
                <w:b/>
              </w:rPr>
            </w:pPr>
            <w:r w:rsidRPr="00155AF7">
              <w:rPr>
                <w:b/>
              </w:rPr>
              <w:t>- motievenreflectie: beschouwing van de wensen en waarden van belang voor de loopbaan</w:t>
            </w:r>
          </w:p>
          <w:p w:rsidR="00155AF7" w:rsidRPr="00155AF7" w:rsidRDefault="00155AF7" w:rsidP="00155AF7">
            <w:pPr>
              <w:pStyle w:val="opsomming"/>
              <w:rPr>
                <w:b/>
              </w:rPr>
            </w:pPr>
            <w:r w:rsidRPr="00155AF7">
              <w:rPr>
                <w:b/>
              </w:rPr>
              <w:t>- werkexploratie: onderzoek naar werk en mobiliteit in de loopbaan</w:t>
            </w:r>
          </w:p>
          <w:p w:rsidR="00155AF7" w:rsidRPr="00155AF7" w:rsidRDefault="00155AF7" w:rsidP="00155AF7">
            <w:pPr>
              <w:pStyle w:val="opsomming"/>
              <w:rPr>
                <w:b/>
              </w:rPr>
            </w:pPr>
            <w:r w:rsidRPr="00155AF7">
              <w:rPr>
                <w:b/>
              </w:rPr>
              <w:t>- loopbaansturing: loopbaangerichte planning en beïnvloeding van het leer- en werkproces</w:t>
            </w:r>
          </w:p>
          <w:p w:rsidR="00155AF7" w:rsidRPr="00155AF7" w:rsidRDefault="00155AF7" w:rsidP="00155AF7">
            <w:pPr>
              <w:pStyle w:val="opsomming"/>
              <w:rPr>
                <w:b/>
              </w:rPr>
            </w:pPr>
            <w:r w:rsidRPr="00155AF7">
              <w:rPr>
                <w:b/>
              </w:rPr>
              <w:t>- netwerken: contacten opbouwen en onderhouden op de arbeidsmarkt, gericht op loopbaanontwikkeling</w:t>
            </w:r>
          </w:p>
          <w:p w:rsidR="00155AF7" w:rsidRPr="00155AF7" w:rsidRDefault="00155AF7" w:rsidP="00155AF7">
            <w:pPr>
              <w:pStyle w:val="opsomming"/>
              <w:rPr>
                <w:b/>
              </w:rPr>
            </w:pPr>
          </w:p>
          <w:p w:rsidR="00155AF7" w:rsidRPr="00155AF7" w:rsidRDefault="00155AF7" w:rsidP="00155AF7">
            <w:pPr>
              <w:pStyle w:val="opsomming"/>
              <w:rPr>
                <w:b/>
              </w:rPr>
            </w:pPr>
          </w:p>
          <w:p w:rsidR="00155AF7" w:rsidRPr="00155AF7" w:rsidRDefault="00155AF7" w:rsidP="00155AF7">
            <w:pPr>
              <w:pStyle w:val="opsomming"/>
              <w:rPr>
                <w:b/>
              </w:rPr>
            </w:pPr>
            <w:r w:rsidRPr="00155AF7">
              <w:rPr>
                <w:b/>
              </w:rPr>
              <w:lastRenderedPageBreak/>
              <w:t>2. Burgerschap</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2.1 De politiek-juridische dimensie</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De leerling heeft kennis en inzicht over:</w:t>
            </w:r>
          </w:p>
          <w:p w:rsidR="00155AF7" w:rsidRPr="00155AF7" w:rsidRDefault="00155AF7" w:rsidP="00155AF7">
            <w:pPr>
              <w:pStyle w:val="opsomming"/>
              <w:rPr>
                <w:b/>
              </w:rPr>
            </w:pPr>
            <w:r w:rsidRPr="00155AF7">
              <w:rPr>
                <w:b/>
              </w:rPr>
              <w:t>- de kenmerken en het functioneren van een parlementaire democratie, de rechtsstaat en het rechtssysteem, de rol van de overheid</w:t>
            </w:r>
          </w:p>
          <w:p w:rsidR="00155AF7" w:rsidRPr="00155AF7" w:rsidRDefault="00155AF7" w:rsidP="00155AF7">
            <w:pPr>
              <w:pStyle w:val="opsomming"/>
              <w:rPr>
                <w:b/>
              </w:rPr>
            </w:pPr>
            <w:r w:rsidRPr="00155AF7">
              <w:rPr>
                <w:b/>
              </w:rPr>
              <w:t>- de belangrijkste politieke stromingen en hun maatschappelijke agenda’s</w:t>
            </w:r>
          </w:p>
          <w:p w:rsidR="00155AF7" w:rsidRPr="00155AF7" w:rsidRDefault="00155AF7" w:rsidP="00155AF7">
            <w:pPr>
              <w:pStyle w:val="opsomming"/>
              <w:rPr>
                <w:b/>
              </w:rPr>
            </w:pPr>
            <w:r w:rsidRPr="00155AF7">
              <w:rPr>
                <w:b/>
              </w:rPr>
              <w:t>- de rol en de invloed op de politieke besluitvorming van belangengroeperingen en maatschappelijke organisaties</w:t>
            </w:r>
          </w:p>
          <w:p w:rsidR="00155AF7" w:rsidRPr="00155AF7" w:rsidRDefault="00155AF7" w:rsidP="00155AF7">
            <w:pPr>
              <w:pStyle w:val="opsomming"/>
              <w:rPr>
                <w:b/>
              </w:rPr>
            </w:pPr>
            <w:r w:rsidRPr="00155AF7">
              <w:rPr>
                <w:b/>
              </w:rPr>
              <w:t>- de invloed van de Europese Unie op het Nederlands overheidsbeleid en daarmee op de Nederlandse samenleving</w:t>
            </w:r>
          </w:p>
          <w:p w:rsidR="00155AF7" w:rsidRPr="00155AF7" w:rsidRDefault="00155AF7" w:rsidP="00155AF7">
            <w:pPr>
              <w:pStyle w:val="opsomming"/>
              <w:rPr>
                <w:b/>
              </w:rPr>
            </w:pPr>
            <w:r w:rsidRPr="00155AF7">
              <w:rPr>
                <w:b/>
              </w:rPr>
              <w:t>- de rol en de invloed van de (massa)media</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2.2 De economische dimensie</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De leerling heeft kennis en inzicht over:</w:t>
            </w:r>
          </w:p>
          <w:p w:rsidR="00155AF7" w:rsidRPr="00155AF7" w:rsidRDefault="00155AF7" w:rsidP="00155AF7">
            <w:pPr>
              <w:pStyle w:val="opsomming"/>
              <w:rPr>
                <w:b/>
              </w:rPr>
            </w:pPr>
            <w:r w:rsidRPr="00155AF7">
              <w:rPr>
                <w:b/>
              </w:rPr>
              <w:t>- de maatschappelijke functies en waardering van arbeid</w:t>
            </w:r>
          </w:p>
          <w:p w:rsidR="00155AF7" w:rsidRPr="00155AF7" w:rsidRDefault="00155AF7" w:rsidP="00155AF7">
            <w:pPr>
              <w:pStyle w:val="opsomming"/>
              <w:rPr>
                <w:b/>
              </w:rPr>
            </w:pPr>
            <w:r w:rsidRPr="00155AF7">
              <w:rPr>
                <w:b/>
              </w:rPr>
              <w:t>- de factoren die van invloed zijn op de bedrijfscultuur</w:t>
            </w:r>
          </w:p>
          <w:p w:rsidR="00155AF7" w:rsidRPr="00155AF7" w:rsidRDefault="00155AF7" w:rsidP="00155AF7">
            <w:pPr>
              <w:pStyle w:val="opsomming"/>
              <w:rPr>
                <w:b/>
              </w:rPr>
            </w:pPr>
            <w:r w:rsidRPr="00155AF7">
              <w:rPr>
                <w:b/>
              </w:rPr>
              <w:t>- de arbeidsverhoudingen in Nederland</w:t>
            </w:r>
          </w:p>
          <w:p w:rsidR="00155AF7" w:rsidRPr="00155AF7" w:rsidRDefault="00155AF7" w:rsidP="00155AF7">
            <w:pPr>
              <w:pStyle w:val="opsomming"/>
              <w:rPr>
                <w:b/>
              </w:rPr>
            </w:pPr>
            <w:r w:rsidRPr="00155AF7">
              <w:rPr>
                <w:b/>
              </w:rPr>
              <w:t>- de rol en de invloed van branche- of vakorganisaties</w:t>
            </w:r>
          </w:p>
          <w:p w:rsidR="00155AF7" w:rsidRPr="00155AF7" w:rsidRDefault="00155AF7" w:rsidP="00155AF7">
            <w:pPr>
              <w:pStyle w:val="opsomming"/>
              <w:rPr>
                <w:b/>
              </w:rPr>
            </w:pPr>
            <w:r w:rsidRPr="00155AF7">
              <w:rPr>
                <w:b/>
              </w:rPr>
              <w:t>- de rol van de overheid op het gebied van arbeid, de verzorgingsstaat en de consumentenmarkt</w:t>
            </w:r>
          </w:p>
          <w:p w:rsidR="00155AF7" w:rsidRPr="00155AF7" w:rsidRDefault="00155AF7" w:rsidP="00155AF7">
            <w:pPr>
              <w:pStyle w:val="opsomming"/>
              <w:rPr>
                <w:b/>
              </w:rPr>
            </w:pPr>
            <w:r w:rsidRPr="00155AF7">
              <w:rPr>
                <w:b/>
              </w:rPr>
              <w:t>- de belangrijkste principes van budgettering</w:t>
            </w:r>
          </w:p>
          <w:p w:rsidR="00155AF7" w:rsidRPr="00155AF7" w:rsidRDefault="00155AF7" w:rsidP="00155AF7">
            <w:pPr>
              <w:pStyle w:val="opsomming"/>
              <w:rPr>
                <w:b/>
              </w:rPr>
            </w:pPr>
            <w:r w:rsidRPr="00155AF7">
              <w:rPr>
                <w:b/>
              </w:rPr>
              <w:t>- de kenmerken van duurzame consumptie en productie</w:t>
            </w:r>
          </w:p>
          <w:p w:rsidR="00155AF7" w:rsidRPr="00155AF7" w:rsidRDefault="00155AF7" w:rsidP="00155AF7">
            <w:pPr>
              <w:pStyle w:val="opsomming"/>
              <w:rPr>
                <w:b/>
              </w:rPr>
            </w:pPr>
            <w:r w:rsidRPr="00155AF7">
              <w:rPr>
                <w:b/>
              </w:rPr>
              <w:t>- de rol en de invloed van consumentenorganisaties</w:t>
            </w:r>
          </w:p>
          <w:p w:rsidR="00155AF7" w:rsidRPr="00155AF7" w:rsidRDefault="00155AF7" w:rsidP="00155AF7">
            <w:pPr>
              <w:pStyle w:val="opsomming"/>
              <w:rPr>
                <w:b/>
              </w:rPr>
            </w:pPr>
            <w:r w:rsidRPr="00155AF7">
              <w:rPr>
                <w:b/>
              </w:rPr>
              <w:t>- de invloed van de media op het bestedingspatroon van consumenten</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2.3 De sociaal-maatschappelijke dimensie</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De leerling heeft kennis en inzicht over:</w:t>
            </w:r>
          </w:p>
          <w:p w:rsidR="00155AF7" w:rsidRPr="00155AF7" w:rsidRDefault="00155AF7" w:rsidP="00155AF7">
            <w:pPr>
              <w:pStyle w:val="opsomming"/>
              <w:rPr>
                <w:b/>
              </w:rPr>
            </w:pPr>
            <w:r w:rsidRPr="00155AF7">
              <w:rPr>
                <w:b/>
              </w:rPr>
              <w:t>- de grondrechten en plichten in Nederland</w:t>
            </w:r>
          </w:p>
          <w:p w:rsidR="00155AF7" w:rsidRPr="00155AF7" w:rsidRDefault="00155AF7" w:rsidP="00155AF7">
            <w:pPr>
              <w:pStyle w:val="opsomming"/>
              <w:rPr>
                <w:b/>
              </w:rPr>
            </w:pPr>
            <w:r w:rsidRPr="00155AF7">
              <w:rPr>
                <w:b/>
              </w:rPr>
              <w:t>- de kenmerken van de verschillende (sub)culturen en bevolkingsgroepen in Nederland</w:t>
            </w:r>
          </w:p>
          <w:p w:rsidR="00155AF7" w:rsidRPr="00155AF7" w:rsidRDefault="00155AF7" w:rsidP="00155AF7">
            <w:pPr>
              <w:pStyle w:val="opsomming"/>
              <w:rPr>
                <w:b/>
              </w:rPr>
            </w:pPr>
            <w:r w:rsidRPr="00155AF7">
              <w:rPr>
                <w:b/>
              </w:rPr>
              <w:t>- de kenmerken van ethisch en integer handelen, en het doel en de invloed van sociale en professionele netwerken</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2.4 De dimensie vitaal burgerschap</w:t>
            </w:r>
          </w:p>
          <w:p w:rsidR="00155AF7" w:rsidRPr="00155AF7" w:rsidRDefault="00155AF7" w:rsidP="00155AF7">
            <w:pPr>
              <w:pStyle w:val="opsomming"/>
              <w:rPr>
                <w:b/>
              </w:rPr>
            </w:pPr>
          </w:p>
          <w:p w:rsidR="00155AF7" w:rsidRPr="00155AF7" w:rsidRDefault="00155AF7" w:rsidP="00155AF7">
            <w:pPr>
              <w:pStyle w:val="opsomming"/>
              <w:rPr>
                <w:b/>
              </w:rPr>
            </w:pPr>
            <w:r w:rsidRPr="00155AF7">
              <w:rPr>
                <w:b/>
              </w:rPr>
              <w:t>De leerling:</w:t>
            </w:r>
          </w:p>
          <w:p w:rsidR="00155AF7" w:rsidRPr="00155AF7" w:rsidRDefault="00155AF7" w:rsidP="00155AF7">
            <w:pPr>
              <w:pStyle w:val="opsomming"/>
              <w:rPr>
                <w:b/>
              </w:rPr>
            </w:pPr>
            <w:r w:rsidRPr="00155AF7">
              <w:rPr>
                <w:b/>
              </w:rPr>
              <w:t xml:space="preserve">- heeft kennis en inzicht over de kenmerken van een gezonde leefwijze waaronder de nationale norm gezond bewegen en de aard, plaats en organisatie van </w:t>
            </w:r>
            <w:proofErr w:type="spellStart"/>
            <w:r w:rsidRPr="00155AF7">
              <w:rPr>
                <w:b/>
              </w:rPr>
              <w:t>gezondheidsbevorderende</w:t>
            </w:r>
            <w:proofErr w:type="spellEnd"/>
            <w:r w:rsidRPr="00155AF7">
              <w:rPr>
                <w:b/>
              </w:rPr>
              <w:t xml:space="preserve"> activiteiten in de samenleving en het arbeidsproces</w:t>
            </w:r>
          </w:p>
          <w:p w:rsidR="00155AF7" w:rsidRPr="00155AF7" w:rsidRDefault="00155AF7" w:rsidP="00155AF7">
            <w:pPr>
              <w:pStyle w:val="opsomming"/>
              <w:rPr>
                <w:b/>
              </w:rPr>
            </w:pPr>
            <w:r w:rsidRPr="00155AF7">
              <w:rPr>
                <w:b/>
              </w:rPr>
              <w:t>- is zich bewust van zijn eigen leefstijl</w:t>
            </w:r>
          </w:p>
          <w:p w:rsidR="00155AF7" w:rsidRPr="00155AF7" w:rsidRDefault="00155AF7" w:rsidP="00155AF7">
            <w:pPr>
              <w:pStyle w:val="opsomming"/>
              <w:rPr>
                <w:b/>
              </w:rPr>
            </w:pPr>
            <w:r w:rsidRPr="00155AF7">
              <w:rPr>
                <w:b/>
              </w:rPr>
              <w:lastRenderedPageBreak/>
              <w:t>- kan gezondheidsrisico’s van leefstijl en werk inschatten, en op basis daarvan verantwoorde keuzes maken en activiteiten ondernemen die bijdragen aan een gezonde leefstijl</w:t>
            </w:r>
          </w:p>
          <w:p w:rsidR="00C04283" w:rsidRDefault="00C04283" w:rsidP="007C14F3">
            <w:pPr>
              <w:pStyle w:val="opsomming"/>
              <w:rPr>
                <w:sz w:val="18"/>
                <w:szCs w:val="18"/>
              </w:rPr>
            </w:pPr>
          </w:p>
          <w:p w:rsidR="00C04283" w:rsidRPr="007849A6" w:rsidRDefault="00C04283" w:rsidP="007C14F3">
            <w:pPr>
              <w:pStyle w:val="opsomming"/>
              <w:rPr>
                <w:sz w:val="18"/>
                <w:szCs w:val="18"/>
              </w:rPr>
            </w:pPr>
          </w:p>
          <w:p w:rsidR="00C04283" w:rsidRPr="007849A6" w:rsidRDefault="00C04283" w:rsidP="007C14F3">
            <w:pPr>
              <w:pStyle w:val="opsomming"/>
              <w:rPr>
                <w:sz w:val="18"/>
                <w:szCs w:val="18"/>
              </w:rPr>
            </w:pPr>
          </w:p>
        </w:tc>
        <w:tc>
          <w:tcPr>
            <w:tcW w:w="5953" w:type="dxa"/>
            <w:gridSpan w:val="2"/>
            <w:tcBorders>
              <w:top w:val="nil"/>
              <w:left w:val="single" w:sz="4" w:space="0" w:color="auto"/>
            </w:tcBorders>
            <w:shd w:val="clear" w:color="auto" w:fill="auto"/>
          </w:tcPr>
          <w:p w:rsidR="00C04283" w:rsidRPr="007849A6" w:rsidRDefault="00C04283" w:rsidP="007C14F3">
            <w:pPr>
              <w:pStyle w:val="opsomming"/>
              <w:rPr>
                <w:sz w:val="18"/>
                <w:szCs w:val="18"/>
              </w:rPr>
            </w:pPr>
          </w:p>
          <w:p w:rsidR="00C04283" w:rsidRDefault="00155AF7" w:rsidP="007C14F3">
            <w:pPr>
              <w:rPr>
                <w:sz w:val="18"/>
                <w:szCs w:val="18"/>
              </w:rPr>
            </w:pPr>
            <w:r>
              <w:rPr>
                <w:sz w:val="18"/>
                <w:szCs w:val="18"/>
              </w:rPr>
              <w:t>Zelfvertrouwen tonen</w:t>
            </w:r>
          </w:p>
          <w:p w:rsidR="00155AF7" w:rsidRDefault="00155AF7" w:rsidP="007C14F3">
            <w:pPr>
              <w:rPr>
                <w:sz w:val="18"/>
                <w:szCs w:val="18"/>
              </w:rPr>
            </w:pPr>
            <w:r>
              <w:rPr>
                <w:sz w:val="18"/>
                <w:szCs w:val="18"/>
              </w:rPr>
              <w:t>Op eigen initiatief handelen</w:t>
            </w:r>
          </w:p>
          <w:p w:rsidR="00155AF7" w:rsidRDefault="00155AF7" w:rsidP="007C14F3">
            <w:pPr>
              <w:rPr>
                <w:sz w:val="18"/>
                <w:szCs w:val="18"/>
              </w:rPr>
            </w:pPr>
            <w:r>
              <w:rPr>
                <w:sz w:val="18"/>
                <w:szCs w:val="18"/>
              </w:rPr>
              <w:t>Beslissingen durven nemen</w:t>
            </w:r>
          </w:p>
          <w:p w:rsidR="00155AF7" w:rsidRDefault="00155AF7" w:rsidP="007C14F3">
            <w:pPr>
              <w:rPr>
                <w:sz w:val="18"/>
                <w:szCs w:val="18"/>
              </w:rPr>
            </w:pPr>
            <w:r>
              <w:rPr>
                <w:sz w:val="18"/>
                <w:szCs w:val="18"/>
              </w:rPr>
              <w:t>Acties en activiteiten initiëren</w:t>
            </w:r>
          </w:p>
          <w:p w:rsidR="00155AF7" w:rsidRDefault="00155AF7" w:rsidP="007C14F3">
            <w:pPr>
              <w:rPr>
                <w:sz w:val="18"/>
                <w:szCs w:val="18"/>
              </w:rPr>
            </w:pPr>
            <w:r>
              <w:rPr>
                <w:sz w:val="18"/>
                <w:szCs w:val="18"/>
              </w:rPr>
              <w:t>Afgewogen risico’s nemen</w:t>
            </w:r>
          </w:p>
          <w:p w:rsidR="00155AF7" w:rsidRDefault="00155AF7" w:rsidP="007C14F3">
            <w:pPr>
              <w:rPr>
                <w:sz w:val="18"/>
                <w:szCs w:val="18"/>
              </w:rPr>
            </w:pPr>
            <w:r>
              <w:rPr>
                <w:sz w:val="18"/>
                <w:szCs w:val="18"/>
              </w:rPr>
              <w:t>Verantwoordelijkheid nemen voor eigen beslissing/ initiatief</w:t>
            </w:r>
          </w:p>
          <w:p w:rsidR="00155AF7" w:rsidRDefault="00155AF7" w:rsidP="007C14F3">
            <w:pPr>
              <w:rPr>
                <w:sz w:val="18"/>
                <w:szCs w:val="18"/>
              </w:rPr>
            </w:pPr>
          </w:p>
          <w:p w:rsidR="00155AF7" w:rsidRDefault="00155AF7" w:rsidP="007C14F3">
            <w:pPr>
              <w:rPr>
                <w:sz w:val="18"/>
                <w:szCs w:val="18"/>
              </w:rPr>
            </w:pPr>
            <w:r>
              <w:rPr>
                <w:sz w:val="18"/>
                <w:szCs w:val="18"/>
              </w:rPr>
              <w:t>Zichzelf kennen en laten zien</w:t>
            </w:r>
          </w:p>
          <w:p w:rsidR="00155AF7" w:rsidRDefault="00155AF7" w:rsidP="007C14F3">
            <w:pPr>
              <w:rPr>
                <w:sz w:val="18"/>
                <w:szCs w:val="18"/>
              </w:rPr>
            </w:pPr>
            <w:r>
              <w:rPr>
                <w:sz w:val="18"/>
                <w:szCs w:val="18"/>
              </w:rPr>
              <w:t>Openhartig en oprecht communiceren</w:t>
            </w:r>
          </w:p>
          <w:p w:rsidR="00155AF7" w:rsidRDefault="00155AF7" w:rsidP="007C14F3">
            <w:pPr>
              <w:rPr>
                <w:sz w:val="18"/>
                <w:szCs w:val="18"/>
              </w:rPr>
            </w:pPr>
            <w:r>
              <w:rPr>
                <w:sz w:val="18"/>
                <w:szCs w:val="18"/>
              </w:rPr>
              <w:t>Anderen raadplegen en betrekken</w:t>
            </w:r>
          </w:p>
          <w:p w:rsidR="00155AF7" w:rsidRDefault="00155AF7" w:rsidP="007C14F3">
            <w:pPr>
              <w:rPr>
                <w:sz w:val="18"/>
                <w:szCs w:val="18"/>
              </w:rPr>
            </w:pPr>
            <w:r>
              <w:rPr>
                <w:sz w:val="18"/>
                <w:szCs w:val="18"/>
              </w:rPr>
              <w:t>Afstemmen</w:t>
            </w:r>
          </w:p>
          <w:p w:rsidR="00155AF7" w:rsidRDefault="00155AF7" w:rsidP="007C14F3">
            <w:pPr>
              <w:rPr>
                <w:sz w:val="18"/>
                <w:szCs w:val="18"/>
              </w:rPr>
            </w:pPr>
            <w:r>
              <w:rPr>
                <w:sz w:val="18"/>
                <w:szCs w:val="18"/>
              </w:rPr>
              <w:t>Aanpassen aan de groep</w:t>
            </w:r>
          </w:p>
          <w:p w:rsidR="00155AF7" w:rsidRDefault="00155AF7" w:rsidP="007C14F3">
            <w:pPr>
              <w:rPr>
                <w:sz w:val="18"/>
                <w:szCs w:val="18"/>
              </w:rPr>
            </w:pPr>
            <w:r>
              <w:rPr>
                <w:sz w:val="18"/>
                <w:szCs w:val="18"/>
              </w:rPr>
              <w:t>Bevorderen van teamgeest</w:t>
            </w:r>
          </w:p>
          <w:p w:rsidR="00155AF7" w:rsidRDefault="00155AF7" w:rsidP="007C14F3">
            <w:pPr>
              <w:rPr>
                <w:sz w:val="18"/>
                <w:szCs w:val="18"/>
              </w:rPr>
            </w:pPr>
            <w:r>
              <w:rPr>
                <w:sz w:val="18"/>
                <w:szCs w:val="18"/>
              </w:rPr>
              <w:t>Proactief informeren</w:t>
            </w:r>
          </w:p>
          <w:p w:rsidR="00155AF7" w:rsidRDefault="00155AF7" w:rsidP="007C14F3">
            <w:pPr>
              <w:rPr>
                <w:sz w:val="18"/>
                <w:szCs w:val="18"/>
              </w:rPr>
            </w:pPr>
            <w:r>
              <w:rPr>
                <w:sz w:val="18"/>
                <w:szCs w:val="18"/>
              </w:rPr>
              <w:t>Bijdrage van anderen waarderen</w:t>
            </w:r>
          </w:p>
          <w:p w:rsidR="00155AF7" w:rsidRDefault="00155AF7" w:rsidP="007C14F3">
            <w:pPr>
              <w:rPr>
                <w:sz w:val="18"/>
                <w:szCs w:val="18"/>
              </w:rPr>
            </w:pPr>
          </w:p>
          <w:p w:rsidR="0007615A" w:rsidRDefault="0007615A" w:rsidP="007C14F3">
            <w:pPr>
              <w:rPr>
                <w:sz w:val="18"/>
                <w:szCs w:val="18"/>
              </w:rPr>
            </w:pPr>
            <w:r>
              <w:rPr>
                <w:sz w:val="18"/>
                <w:szCs w:val="18"/>
              </w:rPr>
              <w:t>Correct formuleren</w:t>
            </w:r>
          </w:p>
          <w:p w:rsidR="0007615A" w:rsidRDefault="0007615A" w:rsidP="007C14F3">
            <w:pPr>
              <w:rPr>
                <w:sz w:val="18"/>
                <w:szCs w:val="18"/>
              </w:rPr>
            </w:pPr>
            <w:r>
              <w:rPr>
                <w:sz w:val="18"/>
                <w:szCs w:val="18"/>
              </w:rPr>
              <w:t>Vlot en bondig formuleren</w:t>
            </w:r>
          </w:p>
          <w:p w:rsidR="0007615A" w:rsidRDefault="0007615A" w:rsidP="007C14F3">
            <w:pPr>
              <w:rPr>
                <w:sz w:val="18"/>
                <w:szCs w:val="18"/>
              </w:rPr>
            </w:pPr>
            <w:r>
              <w:rPr>
                <w:sz w:val="18"/>
                <w:szCs w:val="18"/>
              </w:rPr>
              <w:t>Communicatie op de ontvanger(s) richten</w:t>
            </w:r>
          </w:p>
          <w:p w:rsidR="0007615A" w:rsidRDefault="0007615A" w:rsidP="007C14F3">
            <w:pPr>
              <w:rPr>
                <w:sz w:val="18"/>
                <w:szCs w:val="18"/>
              </w:rPr>
            </w:pPr>
          </w:p>
          <w:p w:rsidR="0007615A" w:rsidRDefault="0007615A" w:rsidP="007C14F3">
            <w:pPr>
              <w:rPr>
                <w:sz w:val="18"/>
                <w:szCs w:val="18"/>
              </w:rPr>
            </w:pPr>
            <w:r>
              <w:rPr>
                <w:sz w:val="18"/>
                <w:szCs w:val="18"/>
              </w:rPr>
              <w:t>Expertise delen</w:t>
            </w:r>
          </w:p>
          <w:p w:rsidR="0007615A" w:rsidRDefault="0007615A" w:rsidP="007C14F3">
            <w:pPr>
              <w:rPr>
                <w:sz w:val="18"/>
                <w:szCs w:val="18"/>
              </w:rPr>
            </w:pPr>
          </w:p>
          <w:p w:rsidR="0007615A" w:rsidRDefault="0007615A" w:rsidP="007C14F3">
            <w:pPr>
              <w:rPr>
                <w:sz w:val="18"/>
                <w:szCs w:val="18"/>
              </w:rPr>
            </w:pPr>
            <w:r>
              <w:rPr>
                <w:sz w:val="18"/>
                <w:szCs w:val="18"/>
              </w:rPr>
              <w:t>Goed zorg dragen voor materialen en middelen</w:t>
            </w:r>
          </w:p>
          <w:p w:rsidR="0007615A" w:rsidRDefault="0007615A" w:rsidP="007C14F3">
            <w:pPr>
              <w:rPr>
                <w:sz w:val="18"/>
                <w:szCs w:val="18"/>
              </w:rPr>
            </w:pPr>
            <w:r>
              <w:rPr>
                <w:sz w:val="18"/>
                <w:szCs w:val="18"/>
              </w:rPr>
              <w:t>Materialen en middelen doeltreffend gebruiken</w:t>
            </w:r>
          </w:p>
          <w:p w:rsidR="0007615A" w:rsidRDefault="0007615A" w:rsidP="007C14F3">
            <w:pPr>
              <w:rPr>
                <w:sz w:val="18"/>
                <w:szCs w:val="18"/>
              </w:rPr>
            </w:pPr>
            <w:r>
              <w:rPr>
                <w:sz w:val="18"/>
                <w:szCs w:val="18"/>
              </w:rPr>
              <w:t>Materialen en middelen efficiënt gebruiken</w:t>
            </w:r>
          </w:p>
          <w:p w:rsidR="0007615A" w:rsidRDefault="0007615A" w:rsidP="007C14F3">
            <w:pPr>
              <w:rPr>
                <w:sz w:val="18"/>
                <w:szCs w:val="18"/>
              </w:rPr>
            </w:pPr>
            <w:r>
              <w:rPr>
                <w:sz w:val="18"/>
                <w:szCs w:val="18"/>
              </w:rPr>
              <w:t>Geschikte materialen en middelen kiezen</w:t>
            </w:r>
          </w:p>
          <w:p w:rsidR="0007615A" w:rsidRDefault="0007615A" w:rsidP="007C14F3">
            <w:pPr>
              <w:rPr>
                <w:sz w:val="18"/>
                <w:szCs w:val="18"/>
              </w:rPr>
            </w:pPr>
          </w:p>
          <w:p w:rsidR="0007615A" w:rsidRDefault="0007615A" w:rsidP="007C14F3">
            <w:pPr>
              <w:rPr>
                <w:sz w:val="18"/>
                <w:szCs w:val="18"/>
              </w:rPr>
            </w:pPr>
            <w:r>
              <w:rPr>
                <w:sz w:val="18"/>
                <w:szCs w:val="18"/>
              </w:rPr>
              <w:t>Informatie achterhalen</w:t>
            </w:r>
          </w:p>
          <w:p w:rsidR="0007615A" w:rsidRDefault="0007615A" w:rsidP="007C14F3">
            <w:pPr>
              <w:rPr>
                <w:sz w:val="18"/>
                <w:szCs w:val="18"/>
              </w:rPr>
            </w:pPr>
            <w:r>
              <w:rPr>
                <w:sz w:val="18"/>
                <w:szCs w:val="18"/>
              </w:rPr>
              <w:t>Openstaan voor nieuwe informatie</w:t>
            </w:r>
          </w:p>
          <w:p w:rsidR="0007615A" w:rsidRDefault="0007615A" w:rsidP="007C14F3">
            <w:pPr>
              <w:rPr>
                <w:sz w:val="18"/>
                <w:szCs w:val="18"/>
              </w:rPr>
            </w:pPr>
            <w:r>
              <w:rPr>
                <w:sz w:val="18"/>
                <w:szCs w:val="18"/>
              </w:rPr>
              <w:t>Vanuit meerdere invalshoeken kijken</w:t>
            </w:r>
          </w:p>
          <w:p w:rsidR="0007615A" w:rsidRDefault="0007615A" w:rsidP="007C14F3">
            <w:pPr>
              <w:rPr>
                <w:sz w:val="18"/>
                <w:szCs w:val="18"/>
              </w:rPr>
            </w:pPr>
            <w:r>
              <w:rPr>
                <w:sz w:val="18"/>
                <w:szCs w:val="18"/>
              </w:rPr>
              <w:t>Leren van feedback en fouten</w:t>
            </w:r>
          </w:p>
          <w:p w:rsidR="0007615A" w:rsidRDefault="0007615A" w:rsidP="007C14F3">
            <w:pPr>
              <w:rPr>
                <w:sz w:val="18"/>
                <w:szCs w:val="18"/>
              </w:rPr>
            </w:pPr>
            <w:r>
              <w:rPr>
                <w:sz w:val="18"/>
                <w:szCs w:val="18"/>
              </w:rPr>
              <w:t>Vakkennis en –vaardigheden bijhouden</w:t>
            </w:r>
          </w:p>
          <w:p w:rsidR="0007615A" w:rsidRDefault="0007615A" w:rsidP="007C14F3">
            <w:pPr>
              <w:rPr>
                <w:sz w:val="18"/>
                <w:szCs w:val="18"/>
              </w:rPr>
            </w:pPr>
            <w:r>
              <w:rPr>
                <w:sz w:val="18"/>
                <w:szCs w:val="18"/>
              </w:rPr>
              <w:t>Zichzelf verder willen ontwikkele</w:t>
            </w:r>
            <w:bookmarkStart w:id="0" w:name="_GoBack"/>
            <w:bookmarkEnd w:id="0"/>
            <w:r>
              <w:rPr>
                <w:sz w:val="18"/>
                <w:szCs w:val="18"/>
              </w:rPr>
              <w:t>n</w:t>
            </w:r>
          </w:p>
          <w:p w:rsidR="0007615A" w:rsidRDefault="0007615A" w:rsidP="007C14F3">
            <w:pPr>
              <w:rPr>
                <w:sz w:val="18"/>
                <w:szCs w:val="18"/>
              </w:rPr>
            </w:pPr>
          </w:p>
          <w:p w:rsidR="0007615A" w:rsidRDefault="0007615A" w:rsidP="007C14F3">
            <w:pPr>
              <w:rPr>
                <w:sz w:val="18"/>
                <w:szCs w:val="18"/>
              </w:rPr>
            </w:pPr>
            <w:r>
              <w:rPr>
                <w:sz w:val="18"/>
                <w:szCs w:val="18"/>
              </w:rPr>
              <w:t>Tijd indelen en bewaken</w:t>
            </w:r>
          </w:p>
          <w:p w:rsidR="0007615A" w:rsidRDefault="0007615A" w:rsidP="007C14F3">
            <w:pPr>
              <w:rPr>
                <w:sz w:val="18"/>
                <w:szCs w:val="18"/>
              </w:rPr>
            </w:pPr>
            <w:r>
              <w:rPr>
                <w:sz w:val="18"/>
                <w:szCs w:val="18"/>
              </w:rPr>
              <w:t>Activiteiten plannen</w:t>
            </w:r>
          </w:p>
          <w:p w:rsidR="0007615A" w:rsidRDefault="0007615A" w:rsidP="007C14F3">
            <w:pPr>
              <w:rPr>
                <w:sz w:val="18"/>
                <w:szCs w:val="18"/>
              </w:rPr>
            </w:pPr>
            <w:r>
              <w:rPr>
                <w:sz w:val="18"/>
                <w:szCs w:val="18"/>
              </w:rPr>
              <w:t>Mensen en middelen organiseren</w:t>
            </w:r>
          </w:p>
          <w:p w:rsidR="0007615A" w:rsidRDefault="0007615A" w:rsidP="007C14F3">
            <w:pPr>
              <w:rPr>
                <w:sz w:val="18"/>
                <w:szCs w:val="18"/>
              </w:rPr>
            </w:pPr>
            <w:r>
              <w:rPr>
                <w:sz w:val="18"/>
                <w:szCs w:val="18"/>
              </w:rPr>
              <w:t>Voortgang bewaken</w:t>
            </w:r>
          </w:p>
          <w:p w:rsidR="0007615A" w:rsidRPr="007849A6" w:rsidRDefault="0007615A" w:rsidP="007C14F3">
            <w:pPr>
              <w:rPr>
                <w:sz w:val="18"/>
                <w:szCs w:val="18"/>
              </w:rPr>
            </w:pPr>
            <w:r>
              <w:rPr>
                <w:sz w:val="18"/>
                <w:szCs w:val="18"/>
              </w:rPr>
              <w:t>Doelen en prioriteiten stellen</w:t>
            </w:r>
          </w:p>
        </w:tc>
      </w:tr>
    </w:tbl>
    <w:p w:rsidR="002D2448" w:rsidRPr="00155AF7" w:rsidRDefault="002D2448" w:rsidP="00155AF7">
      <w:pPr>
        <w:spacing w:after="160" w:line="259" w:lineRule="auto"/>
        <w:rPr>
          <w:rFonts w:eastAsiaTheme="minorHAnsi" w:cstheme="minorBidi"/>
          <w:szCs w:val="22"/>
          <w:lang w:eastAsia="en-US"/>
        </w:rPr>
      </w:pPr>
    </w:p>
    <w:sectPr w:rsidR="002D2448" w:rsidRPr="00155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D1805"/>
    <w:multiLevelType w:val="hybridMultilevel"/>
    <w:tmpl w:val="C95A1272"/>
    <w:lvl w:ilvl="0" w:tplc="949C9DEA">
      <w:start w:val="2"/>
      <w:numFmt w:val="bullet"/>
      <w:lvlText w:val="-"/>
      <w:lvlJc w:val="left"/>
      <w:pPr>
        <w:ind w:left="720" w:hanging="360"/>
      </w:pPr>
      <w:rPr>
        <w:rFonts w:ascii="Arial" w:eastAsia="Times New Roman"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6D0796"/>
    <w:multiLevelType w:val="hybridMultilevel"/>
    <w:tmpl w:val="E9E6AC4A"/>
    <w:lvl w:ilvl="0" w:tplc="04130003">
      <w:start w:val="1"/>
      <w:numFmt w:val="bullet"/>
      <w:lvlText w:val="o"/>
      <w:lvlJc w:val="left"/>
      <w:pPr>
        <w:ind w:left="1506" w:hanging="360"/>
      </w:pPr>
      <w:rPr>
        <w:rFonts w:ascii="Courier New" w:hAnsi="Courier New" w:cs="Courier New" w:hint="default"/>
      </w:rPr>
    </w:lvl>
    <w:lvl w:ilvl="1" w:tplc="04130003">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15:restartNumberingAfterBreak="0">
    <w:nsid w:val="4BB646E5"/>
    <w:multiLevelType w:val="hybridMultilevel"/>
    <w:tmpl w:val="611C07D4"/>
    <w:lvl w:ilvl="0" w:tplc="A156CBA0">
      <w:start w:val="1"/>
      <w:numFmt w:val="bullet"/>
      <w:lvlText w:val=""/>
      <w:lvlJc w:val="left"/>
      <w:pPr>
        <w:tabs>
          <w:tab w:val="num" w:pos="786"/>
        </w:tabs>
        <w:ind w:left="786"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876660"/>
    <w:multiLevelType w:val="hybridMultilevel"/>
    <w:tmpl w:val="937C9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B6078A"/>
    <w:multiLevelType w:val="hybridMultilevel"/>
    <w:tmpl w:val="CDDE6172"/>
    <w:lvl w:ilvl="0" w:tplc="04130003">
      <w:start w:val="1"/>
      <w:numFmt w:val="bullet"/>
      <w:lvlText w:val="o"/>
      <w:lvlJc w:val="left"/>
      <w:pPr>
        <w:ind w:left="896" w:hanging="360"/>
      </w:pPr>
      <w:rPr>
        <w:rFonts w:ascii="Courier New" w:hAnsi="Courier New" w:cs="Courier New" w:hint="default"/>
      </w:rPr>
    </w:lvl>
    <w:lvl w:ilvl="1" w:tplc="04130003" w:tentative="1">
      <w:start w:val="1"/>
      <w:numFmt w:val="bullet"/>
      <w:lvlText w:val="o"/>
      <w:lvlJc w:val="left"/>
      <w:pPr>
        <w:ind w:left="1616" w:hanging="360"/>
      </w:pPr>
      <w:rPr>
        <w:rFonts w:ascii="Courier New" w:hAnsi="Courier New" w:cs="Courier New" w:hint="default"/>
      </w:rPr>
    </w:lvl>
    <w:lvl w:ilvl="2" w:tplc="04130005" w:tentative="1">
      <w:start w:val="1"/>
      <w:numFmt w:val="bullet"/>
      <w:lvlText w:val=""/>
      <w:lvlJc w:val="left"/>
      <w:pPr>
        <w:ind w:left="2336" w:hanging="360"/>
      </w:pPr>
      <w:rPr>
        <w:rFonts w:ascii="Wingdings" w:hAnsi="Wingdings" w:hint="default"/>
      </w:rPr>
    </w:lvl>
    <w:lvl w:ilvl="3" w:tplc="04130001" w:tentative="1">
      <w:start w:val="1"/>
      <w:numFmt w:val="bullet"/>
      <w:lvlText w:val=""/>
      <w:lvlJc w:val="left"/>
      <w:pPr>
        <w:ind w:left="3056" w:hanging="360"/>
      </w:pPr>
      <w:rPr>
        <w:rFonts w:ascii="Symbol" w:hAnsi="Symbol" w:hint="default"/>
      </w:rPr>
    </w:lvl>
    <w:lvl w:ilvl="4" w:tplc="04130003" w:tentative="1">
      <w:start w:val="1"/>
      <w:numFmt w:val="bullet"/>
      <w:lvlText w:val="o"/>
      <w:lvlJc w:val="left"/>
      <w:pPr>
        <w:ind w:left="3776" w:hanging="360"/>
      </w:pPr>
      <w:rPr>
        <w:rFonts w:ascii="Courier New" w:hAnsi="Courier New" w:cs="Courier New" w:hint="default"/>
      </w:rPr>
    </w:lvl>
    <w:lvl w:ilvl="5" w:tplc="04130005" w:tentative="1">
      <w:start w:val="1"/>
      <w:numFmt w:val="bullet"/>
      <w:lvlText w:val=""/>
      <w:lvlJc w:val="left"/>
      <w:pPr>
        <w:ind w:left="4496" w:hanging="360"/>
      </w:pPr>
      <w:rPr>
        <w:rFonts w:ascii="Wingdings" w:hAnsi="Wingdings" w:hint="default"/>
      </w:rPr>
    </w:lvl>
    <w:lvl w:ilvl="6" w:tplc="04130001" w:tentative="1">
      <w:start w:val="1"/>
      <w:numFmt w:val="bullet"/>
      <w:lvlText w:val=""/>
      <w:lvlJc w:val="left"/>
      <w:pPr>
        <w:ind w:left="5216" w:hanging="360"/>
      </w:pPr>
      <w:rPr>
        <w:rFonts w:ascii="Symbol" w:hAnsi="Symbol" w:hint="default"/>
      </w:rPr>
    </w:lvl>
    <w:lvl w:ilvl="7" w:tplc="04130003" w:tentative="1">
      <w:start w:val="1"/>
      <w:numFmt w:val="bullet"/>
      <w:lvlText w:val="o"/>
      <w:lvlJc w:val="left"/>
      <w:pPr>
        <w:ind w:left="5936" w:hanging="360"/>
      </w:pPr>
      <w:rPr>
        <w:rFonts w:ascii="Courier New" w:hAnsi="Courier New" w:cs="Courier New" w:hint="default"/>
      </w:rPr>
    </w:lvl>
    <w:lvl w:ilvl="8" w:tplc="04130005" w:tentative="1">
      <w:start w:val="1"/>
      <w:numFmt w:val="bullet"/>
      <w:lvlText w:val=""/>
      <w:lvlJc w:val="left"/>
      <w:pPr>
        <w:ind w:left="665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83"/>
    <w:rsid w:val="0007615A"/>
    <w:rsid w:val="00155AF7"/>
    <w:rsid w:val="0023553C"/>
    <w:rsid w:val="00245797"/>
    <w:rsid w:val="002D2448"/>
    <w:rsid w:val="00344D83"/>
    <w:rsid w:val="004706A4"/>
    <w:rsid w:val="005B7FD2"/>
    <w:rsid w:val="005C4107"/>
    <w:rsid w:val="008C75BC"/>
    <w:rsid w:val="00935D41"/>
    <w:rsid w:val="009F6B95"/>
    <w:rsid w:val="00A15873"/>
    <w:rsid w:val="00A601A1"/>
    <w:rsid w:val="00BC53D3"/>
    <w:rsid w:val="00C04283"/>
    <w:rsid w:val="00D1698A"/>
    <w:rsid w:val="00DC1D3B"/>
    <w:rsid w:val="00DC5B6E"/>
    <w:rsid w:val="00EC5B08"/>
    <w:rsid w:val="00FE7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F3453-D597-4A64-AB0D-9443EE9E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428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C04283"/>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C04283"/>
    <w:rPr>
      <w:rFonts w:ascii="Arial" w:eastAsia="Times New Roman" w:hAnsi="Arial" w:cs="Times New Roman"/>
      <w:b/>
      <w:sz w:val="28"/>
      <w:szCs w:val="20"/>
      <w:lang w:val="en-US" w:eastAsia="nl-NL"/>
    </w:rPr>
  </w:style>
  <w:style w:type="paragraph" w:customStyle="1" w:styleId="opsomming">
    <w:name w:val="opsomming"/>
    <w:basedOn w:val="Standaard"/>
    <w:rsid w:val="00C04283"/>
  </w:style>
  <w:style w:type="character" w:customStyle="1" w:styleId="GeenafstandChar">
    <w:name w:val="Geen afstand Char"/>
    <w:link w:val="Geenafstand"/>
    <w:uiPriority w:val="1"/>
    <w:rsid w:val="00C0428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Theuws</dc:creator>
  <cp:keywords/>
  <dc:description/>
  <cp:lastModifiedBy>Bjorn Hillebrandt</cp:lastModifiedBy>
  <cp:revision>2</cp:revision>
  <dcterms:created xsi:type="dcterms:W3CDTF">2016-03-02T15:19:00Z</dcterms:created>
  <dcterms:modified xsi:type="dcterms:W3CDTF">2016-03-02T15:19:00Z</dcterms:modified>
</cp:coreProperties>
</file>